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FA7C89" w:rsidRPr="00D243FF" w:rsidRDefault="00BE2E25" w:rsidP="00BE2E25">
      <w:pPr>
        <w:spacing w:after="0" w:line="240" w:lineRule="auto"/>
        <w:rPr>
          <w:rFonts w:ascii="Tahoma" w:hAnsi="Tahoma" w:cs="Tahoma"/>
          <w:b/>
          <w:bCs/>
          <w:color w:val="000000"/>
          <w:sz w:val="20"/>
          <w:szCs w:val="16"/>
          <w:shd w:val="clear" w:color="auto" w:fill="FFFFFF"/>
        </w:rPr>
      </w:pPr>
      <w:r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7456" behindDoc="0" locked="0" layoutInCell="1" allowOverlap="1" wp14:anchorId="731C5257" wp14:editId="208FCC51">
                <wp:simplePos x="0" y="0"/>
                <wp:positionH relativeFrom="column">
                  <wp:posOffset>2461895</wp:posOffset>
                </wp:positionH>
                <wp:positionV relativeFrom="paragraph">
                  <wp:posOffset>-18415</wp:posOffset>
                </wp:positionV>
                <wp:extent cx="20637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77A2" w:rsidRDefault="00120910" w:rsidP="001E43B5">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D31BD2" w:rsidRPr="004577A2" w:rsidRDefault="00E745FE" w:rsidP="001E43B5">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120910">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w:t>
                            </w:r>
                            <w:r w:rsidR="00D31BD2"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93.85pt;margin-top:-1.45pt;width:162.5pt;height:39.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PH1uQIAAMA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" filled="f" stroked="f">
                <v:textbox>
                  <w:txbxContent>
                    <w:p w:rsidR="004577A2" w:rsidRDefault="00120910" w:rsidP="001E43B5">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D31BD2" w:rsidRPr="004577A2" w:rsidRDefault="00E745FE" w:rsidP="001E43B5">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120910">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w:t>
                      </w:r>
                      <w:r w:rsidR="00D31BD2"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r w:rsidR="001E43B5" w:rsidRPr="00D243FF">
        <w:rPr>
          <w:rFonts w:ascii="Tahoma" w:hAnsi="Tahoma" w:cs="Tahoma"/>
          <w:noProof/>
          <w:color w:val="000000" w:themeColor="text1"/>
          <w:sz w:val="10"/>
          <w:szCs w:val="20"/>
          <w:lang w:val="es-EC" w:eastAsia="es-EC"/>
        </w:rPr>
        <w:drawing>
          <wp:anchor distT="0" distB="0" distL="114300" distR="114300" simplePos="0" relativeHeight="251665408" behindDoc="1" locked="0" layoutInCell="1" allowOverlap="1" wp14:anchorId="479E0AE1" wp14:editId="15143035">
            <wp:simplePos x="0" y="0"/>
            <wp:positionH relativeFrom="column">
              <wp:posOffset>-346075</wp:posOffset>
            </wp:positionH>
            <wp:positionV relativeFrom="paragraph">
              <wp:posOffset>83820</wp:posOffset>
            </wp:positionV>
            <wp:extent cx="2054860" cy="657860"/>
            <wp:effectExtent l="0" t="0" r="2540" b="8890"/>
            <wp:wrapTight wrapText="bothSides">
              <wp:wrapPolygon edited="0">
                <wp:start x="0" y="0"/>
                <wp:lineTo x="0" y="21266"/>
                <wp:lineTo x="21426" y="21266"/>
                <wp:lineTo x="21426" y="0"/>
                <wp:lineTo x="0" y="0"/>
              </wp:wrapPolygon>
            </wp:wrapTight>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C AUDIT FIN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54860" cy="657860"/>
                    </a:xfrm>
                    <a:prstGeom prst="rect">
                      <a:avLst/>
                    </a:prstGeom>
                  </pic:spPr>
                </pic:pic>
              </a:graphicData>
            </a:graphic>
            <wp14:sizeRelH relativeFrom="page">
              <wp14:pctWidth>0</wp14:pctWidth>
            </wp14:sizeRelH>
            <wp14:sizeRelV relativeFrom="page">
              <wp14:pctHeight>0</wp14:pctHeight>
            </wp14:sizeRelV>
          </wp:anchor>
        </w:drawing>
      </w:r>
    </w:p>
    <w:p w:rsidR="00FA7C89" w:rsidRPr="00D243FF" w:rsidRDefault="00FA7C89" w:rsidP="00BE2E25">
      <w:pPr>
        <w:spacing w:after="0" w:line="240" w:lineRule="auto"/>
        <w:rPr>
          <w:rFonts w:ascii="Tahoma" w:hAnsi="Tahoma" w:cs="Tahoma"/>
          <w:b/>
          <w:bCs/>
          <w:color w:val="000000"/>
          <w:sz w:val="20"/>
          <w:szCs w:val="16"/>
          <w:shd w:val="clear" w:color="auto" w:fill="FFFFFF"/>
        </w:rPr>
      </w:pPr>
    </w:p>
    <w:p w:rsidR="00FA7C89" w:rsidRPr="00D243FF" w:rsidRDefault="00FA7C89" w:rsidP="00BE2E25">
      <w:pPr>
        <w:spacing w:after="0" w:line="240" w:lineRule="auto"/>
        <w:rPr>
          <w:rFonts w:ascii="Tahoma" w:hAnsi="Tahoma" w:cs="Tahoma"/>
          <w:b/>
          <w:bCs/>
          <w:color w:val="000000"/>
          <w:sz w:val="20"/>
          <w:szCs w:val="16"/>
          <w:shd w:val="clear" w:color="auto" w:fill="FFFFFF"/>
        </w:rPr>
      </w:pPr>
    </w:p>
    <w:p w:rsidR="00FA7C89" w:rsidRPr="00D243FF" w:rsidRDefault="00FA7C89" w:rsidP="00B67BD5">
      <w:pPr>
        <w:spacing w:after="0" w:line="240" w:lineRule="auto"/>
        <w:rPr>
          <w:rFonts w:ascii="Tahoma" w:hAnsi="Tahoma" w:cs="Tahoma"/>
          <w:b/>
          <w:bCs/>
          <w:color w:val="000000"/>
          <w:sz w:val="24"/>
          <w:szCs w:val="16"/>
          <w:shd w:val="clear" w:color="auto" w:fill="FFFFFF"/>
        </w:rPr>
      </w:pPr>
    </w:p>
    <w:p w:rsidR="00841585" w:rsidRPr="00D243FF" w:rsidRDefault="00841585" w:rsidP="00B67BD5">
      <w:pPr>
        <w:spacing w:after="0" w:line="240" w:lineRule="auto"/>
        <w:jc w:val="center"/>
        <w:rPr>
          <w:rFonts w:ascii="Tahoma" w:eastAsia="Times New Roman" w:hAnsi="Tahoma" w:cs="Tahoma"/>
          <w:b/>
          <w:bCs/>
          <w:caps/>
          <w:color w:val="166C64"/>
          <w:sz w:val="1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p>
    <w:p w:rsidR="00CA0E85" w:rsidRPr="00D243FF" w:rsidRDefault="00267224" w:rsidP="00B67BD5">
      <w:pPr>
        <w:spacing w:after="0" w:line="240" w:lineRule="auto"/>
        <w:jc w:val="center"/>
        <w:rPr>
          <w:rFonts w:ascii="Tahoma" w:hAnsi="Tahoma" w:cs="Tahoma"/>
          <w:b/>
          <w:bCs/>
          <w:color w:val="009999"/>
          <w:sz w:val="20"/>
          <w:szCs w:val="16"/>
          <w:shd w:val="clear" w:color="auto" w:fill="FFFFFF"/>
          <w14:textOutline w14:w="9525" w14:cap="rnd" w14:cmpd="sng" w14:algn="ctr">
            <w14:solidFill>
              <w14:srgbClr w14:val="009999"/>
            </w14:solidFill>
            <w14:prstDash w14:val="solid"/>
            <w14:bevel/>
          </w14:textOutline>
        </w:rPr>
      </w:pPr>
      <w:r>
        <w:rPr>
          <w:rFonts w:ascii="Tahoma" w:eastAsia="Times New Roman" w:hAnsi="Tahoma" w:cs="Tahoma"/>
          <w:b/>
          <w:bCs/>
          <w:caps/>
          <w:color w:val="009999"/>
          <w:sz w:val="24"/>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BOLETÍN INFORMATIVO</w:t>
      </w:r>
    </w:p>
    <w:p w:rsidR="00CA0E85" w:rsidRPr="00D243FF" w:rsidRDefault="00CA0E85" w:rsidP="00B67BD5">
      <w:pPr>
        <w:pStyle w:val="e1"/>
        <w:ind w:left="0"/>
        <w:rPr>
          <w:rFonts w:ascii="Tahoma" w:hAnsi="Tahoma" w:cs="Tahoma"/>
          <w:color w:val="000000" w:themeColor="text1"/>
          <w:sz w:val="10"/>
        </w:rPr>
      </w:pPr>
    </w:p>
    <w:p w:rsidR="001E2646" w:rsidRPr="00D243FF" w:rsidRDefault="001E2646" w:rsidP="00BE2E25">
      <w:pPr>
        <w:pStyle w:val="e1"/>
        <w:ind w:left="0"/>
        <w:rPr>
          <w:rFonts w:ascii="Tahoma" w:hAnsi="Tahoma" w:cs="Tahoma"/>
          <w:color w:val="000000" w:themeColor="text1"/>
          <w:sz w:val="10"/>
        </w:rPr>
      </w:pPr>
    </w:p>
    <w:p w:rsidR="00267224" w:rsidRPr="00267224" w:rsidRDefault="00267224" w:rsidP="00267224">
      <w:pPr>
        <w:pStyle w:val="auto-style37"/>
        <w:spacing w:before="0" w:beforeAutospacing="0" w:after="0" w:afterAutospacing="0"/>
        <w:rPr>
          <w:rFonts w:ascii="Tahoma" w:hAnsi="Tahoma" w:cs="Tahoma"/>
          <w:spacing w:val="8"/>
        </w:rPr>
      </w:pPr>
      <w:r w:rsidRPr="00267224">
        <w:rPr>
          <w:rFonts w:ascii="Tahoma" w:hAnsi="Tahoma" w:cs="Tahoma"/>
          <w:spacing w:val="8"/>
        </w:rPr>
        <w:t>Estimados clientes y amigos,</w:t>
      </w:r>
    </w:p>
    <w:p w:rsidR="00267224" w:rsidRPr="00267224" w:rsidRDefault="00267224" w:rsidP="00267224">
      <w:pPr>
        <w:pStyle w:val="auto-style37"/>
        <w:spacing w:before="0" w:beforeAutospacing="0" w:after="0" w:afterAutospacing="0"/>
        <w:rPr>
          <w:rFonts w:ascii="Tahoma" w:hAnsi="Tahoma" w:cs="Tahoma"/>
          <w:spacing w:val="8"/>
        </w:rPr>
      </w:pPr>
    </w:p>
    <w:p w:rsidR="00267224" w:rsidRPr="00267224" w:rsidRDefault="00267224" w:rsidP="00267224">
      <w:pPr>
        <w:spacing w:after="0" w:line="240" w:lineRule="auto"/>
        <w:jc w:val="both"/>
        <w:rPr>
          <w:rFonts w:ascii="Tahoma" w:hAnsi="Tahoma" w:cs="Tahoma"/>
          <w:spacing w:val="8"/>
        </w:rPr>
      </w:pPr>
      <w:r w:rsidRPr="00267224">
        <w:rPr>
          <w:rFonts w:ascii="Tahoma" w:hAnsi="Tahoma" w:cs="Tahoma"/>
          <w:spacing w:val="8"/>
        </w:rPr>
        <w:t>La Superintendencia de Compañías manifestó que no existen modificaciones en la resolución establecida por este organismo en la adopción de las NIIF; por lo que se tienen que aplicar las NIIF completas según sean emitidas, modificadas o mejoradas por el Consejo de Normas Internacionales de Contabilidad - IASB en los ciclos o períodos correspondientes.</w:t>
      </w:r>
    </w:p>
    <w:p w:rsidR="00267224" w:rsidRPr="00267224" w:rsidRDefault="00267224" w:rsidP="00267224">
      <w:pPr>
        <w:spacing w:after="0" w:line="240" w:lineRule="auto"/>
        <w:jc w:val="both"/>
        <w:rPr>
          <w:rFonts w:ascii="Tahoma" w:hAnsi="Tahoma" w:cs="Tahoma"/>
          <w:spacing w:val="8"/>
        </w:rPr>
      </w:pPr>
    </w:p>
    <w:p w:rsidR="00267224" w:rsidRPr="00267224" w:rsidRDefault="00267224" w:rsidP="00267224">
      <w:pPr>
        <w:spacing w:after="0" w:line="240" w:lineRule="auto"/>
        <w:jc w:val="both"/>
        <w:rPr>
          <w:rFonts w:ascii="Tahoma" w:hAnsi="Tahoma" w:cs="Tahoma"/>
          <w:spacing w:val="8"/>
        </w:rPr>
      </w:pPr>
      <w:r w:rsidRPr="00267224">
        <w:rPr>
          <w:rFonts w:ascii="Tahoma" w:hAnsi="Tahoma" w:cs="Tahoma"/>
          <w:spacing w:val="8"/>
        </w:rPr>
        <w:t xml:space="preserve">El IASB en las mejoras anuales a las NIIF Ciclo 2012 – 2014 emitió una enmienda a la NIC 19 – Beneficios a los Empleados, acerca de la tasa de descuento a ser utilizada en las obligaciones de beneficios posteriores al empleo (jubilación patronal, desahucio; y, otros beneficios posteriores al empleo). </w:t>
      </w:r>
    </w:p>
    <w:p w:rsidR="00267224" w:rsidRPr="00267224" w:rsidRDefault="00267224" w:rsidP="00267224">
      <w:pPr>
        <w:spacing w:after="0" w:line="240" w:lineRule="auto"/>
        <w:jc w:val="both"/>
        <w:rPr>
          <w:rFonts w:ascii="Tahoma" w:hAnsi="Tahoma" w:cs="Tahoma"/>
          <w:spacing w:val="8"/>
        </w:rPr>
      </w:pPr>
    </w:p>
    <w:p w:rsidR="00267224" w:rsidRPr="00267224" w:rsidRDefault="00267224" w:rsidP="00267224">
      <w:pPr>
        <w:spacing w:after="0" w:line="240" w:lineRule="auto"/>
        <w:jc w:val="both"/>
        <w:rPr>
          <w:rFonts w:ascii="Tahoma" w:hAnsi="Tahoma" w:cs="Tahoma"/>
          <w:color w:val="009999"/>
          <w:spacing w:val="8"/>
        </w:rPr>
      </w:pPr>
      <w:r w:rsidRPr="00267224">
        <w:rPr>
          <w:rFonts w:ascii="Tahoma" w:hAnsi="Tahoma" w:cs="Tahoma"/>
          <w:spacing w:val="8"/>
        </w:rPr>
        <w:t xml:space="preserve">Las enmiendas a la NIC 19 aclaran que los bonos corporativos de alta calidad usados para estimar la tasa de descuento para los beneficios posteriores al empleo deben ser emitidos en la misma moneda en que se paguen los beneficios y no a nivel de país como se establecía en la norma antes de ser modificada. Esas enmiendas resultarían en que la profundidad o amplitud del mercado para los bonos corporativos de alta calidad sea valorada </w:t>
      </w:r>
      <w:r w:rsidRPr="00267224">
        <w:rPr>
          <w:rFonts w:ascii="Tahoma" w:hAnsi="Tahoma" w:cs="Tahoma"/>
          <w:b/>
          <w:color w:val="009999"/>
          <w:spacing w:val="8"/>
        </w:rPr>
        <w:t>a nivel de la moneda</w:t>
      </w:r>
      <w:r w:rsidRPr="00267224">
        <w:rPr>
          <w:rFonts w:ascii="Tahoma" w:hAnsi="Tahoma" w:cs="Tahoma"/>
          <w:color w:val="009999"/>
          <w:spacing w:val="8"/>
        </w:rPr>
        <w:t>.</w:t>
      </w:r>
    </w:p>
    <w:p w:rsidR="00267224" w:rsidRPr="00267224" w:rsidRDefault="00267224" w:rsidP="00267224">
      <w:pPr>
        <w:spacing w:after="0" w:line="240" w:lineRule="auto"/>
        <w:jc w:val="both"/>
        <w:rPr>
          <w:rFonts w:ascii="Tahoma" w:hAnsi="Tahoma" w:cs="Tahoma"/>
          <w:color w:val="000000"/>
          <w:spacing w:val="8"/>
        </w:rPr>
      </w:pPr>
    </w:p>
    <w:p w:rsidR="00267224" w:rsidRDefault="00267224" w:rsidP="00267224">
      <w:pPr>
        <w:spacing w:after="0" w:line="240" w:lineRule="auto"/>
        <w:jc w:val="both"/>
        <w:rPr>
          <w:rFonts w:ascii="Tahoma" w:hAnsi="Tahoma" w:cs="Tahoma"/>
          <w:spacing w:val="8"/>
        </w:rPr>
      </w:pPr>
      <w:r w:rsidRPr="00267224">
        <w:rPr>
          <w:rFonts w:ascii="Tahoma" w:hAnsi="Tahoma" w:cs="Tahoma"/>
          <w:spacing w:val="8"/>
        </w:rPr>
        <w:t xml:space="preserve">En Ecuador, la moneda de curso legal es el dólar de los Estados Unidos de América y es en la cual se pagarán los beneficios posteriores al empleo. La norma nos dice que debemos identificar un mercado profundo de bonos corporativos de alta calidad en esa moneda, en el país no existe ese mercado, pero sí en los Estados Unidos de América, por lo que, la tasa de descuento tiene que ser determinada por referencia al rendimiento de los Bonos Corporativos de Alta Calidad de los Estados Unidos de América y no puede tomarse de referencia a otro tipo de tasas de rendimiento.  </w:t>
      </w:r>
    </w:p>
    <w:p w:rsidR="00267224" w:rsidRPr="00267224" w:rsidRDefault="00267224" w:rsidP="00267224">
      <w:pPr>
        <w:spacing w:after="0" w:line="240" w:lineRule="auto"/>
        <w:jc w:val="both"/>
        <w:rPr>
          <w:rFonts w:ascii="Tahoma" w:hAnsi="Tahoma" w:cs="Tahoma"/>
          <w:spacing w:val="8"/>
        </w:rPr>
      </w:pPr>
    </w:p>
    <w:p w:rsidR="00267224" w:rsidRPr="00267224" w:rsidRDefault="00267224" w:rsidP="00267224">
      <w:pPr>
        <w:spacing w:after="0" w:line="240" w:lineRule="auto"/>
        <w:jc w:val="both"/>
        <w:rPr>
          <w:rFonts w:ascii="Tahoma" w:hAnsi="Tahoma" w:cs="Tahoma"/>
          <w:color w:val="009999"/>
          <w:spacing w:val="8"/>
        </w:rPr>
      </w:pPr>
      <w:r w:rsidRPr="00267224">
        <w:rPr>
          <w:rFonts w:ascii="Tahoma" w:hAnsi="Tahoma" w:cs="Tahoma"/>
          <w:spacing w:val="8"/>
        </w:rPr>
        <w:t xml:space="preserve">Las enmiendas aplican a partir del comienzo del primer período comparativo presentado en los estados financieros en los cuales las enmiendas son aplicadas por primera vez. Cualquier ajuste inicial que surja debe ser reconocido en ganancias retenidas al comienzo de ese período. Por lo tanto la enmienda debe ser aplicada de </w:t>
      </w:r>
      <w:r w:rsidRPr="00267224">
        <w:rPr>
          <w:rFonts w:ascii="Tahoma" w:hAnsi="Tahoma" w:cs="Tahoma"/>
          <w:color w:val="009999"/>
          <w:spacing w:val="8"/>
        </w:rPr>
        <w:t xml:space="preserve">forma </w:t>
      </w:r>
      <w:r w:rsidRPr="00267224">
        <w:rPr>
          <w:rFonts w:ascii="Tahoma" w:hAnsi="Tahoma" w:cs="Tahoma"/>
          <w:b/>
          <w:color w:val="009999"/>
          <w:spacing w:val="8"/>
        </w:rPr>
        <w:t>retrospectiva es decir al 1 de enero de 2015 (31 diciembre 2014)</w:t>
      </w:r>
      <w:r w:rsidRPr="00267224">
        <w:rPr>
          <w:rFonts w:ascii="Tahoma" w:hAnsi="Tahoma" w:cs="Tahoma"/>
          <w:color w:val="009999"/>
          <w:spacing w:val="8"/>
        </w:rPr>
        <w:t xml:space="preserve">. </w:t>
      </w:r>
    </w:p>
    <w:p w:rsidR="00267224" w:rsidRPr="00267224" w:rsidRDefault="00267224" w:rsidP="00267224">
      <w:pPr>
        <w:spacing w:after="0" w:line="240" w:lineRule="auto"/>
        <w:jc w:val="both"/>
        <w:rPr>
          <w:rFonts w:ascii="Tahoma" w:hAnsi="Tahoma" w:cs="Tahoma"/>
          <w:color w:val="000000"/>
          <w:spacing w:val="8"/>
        </w:rPr>
      </w:pPr>
    </w:p>
    <w:p w:rsidR="00267224" w:rsidRPr="00267224" w:rsidRDefault="00267224" w:rsidP="00267224">
      <w:pPr>
        <w:spacing w:after="0" w:line="240" w:lineRule="auto"/>
        <w:jc w:val="both"/>
        <w:rPr>
          <w:rFonts w:ascii="Tahoma" w:hAnsi="Tahoma" w:cs="Tahoma"/>
          <w:color w:val="000000"/>
          <w:spacing w:val="8"/>
        </w:rPr>
      </w:pPr>
      <w:r w:rsidRPr="00267224">
        <w:rPr>
          <w:rFonts w:ascii="Tahoma" w:hAnsi="Tahoma" w:cs="Tahoma"/>
          <w:color w:val="000000"/>
          <w:spacing w:val="8"/>
        </w:rPr>
        <w:t>Cualquier inquietud no dude en comunicarse.</w:t>
      </w:r>
    </w:p>
    <w:p w:rsidR="00267224" w:rsidRDefault="007C4D5B" w:rsidP="00267224">
      <w:pPr>
        <w:spacing w:after="0" w:line="240" w:lineRule="auto"/>
        <w:jc w:val="both"/>
        <w:rPr>
          <w:rFonts w:ascii="Tahoma" w:hAnsi="Tahoma" w:cs="Tahoma"/>
          <w:color w:val="000000"/>
          <w:spacing w:val="8"/>
        </w:rPr>
      </w:pPr>
      <w:r>
        <w:rPr>
          <w:noProof/>
          <w:lang w:val="es-EC" w:eastAsia="es-EC"/>
        </w:rPr>
        <w:drawing>
          <wp:anchor distT="0" distB="0" distL="114300" distR="114300" simplePos="0" relativeHeight="251668480" behindDoc="1" locked="0" layoutInCell="1" allowOverlap="1" wp14:anchorId="6AE49D65" wp14:editId="5F77138A">
            <wp:simplePos x="0" y="0"/>
            <wp:positionH relativeFrom="column">
              <wp:posOffset>2453640</wp:posOffset>
            </wp:positionH>
            <wp:positionV relativeFrom="paragraph">
              <wp:posOffset>81915</wp:posOffset>
            </wp:positionV>
            <wp:extent cx="2328545" cy="1449070"/>
            <wp:effectExtent l="0" t="0" r="0" b="0"/>
            <wp:wrapTight wrapText="bothSides">
              <wp:wrapPolygon edited="0">
                <wp:start x="0" y="0"/>
                <wp:lineTo x="0" y="21297"/>
                <wp:lineTo x="21382" y="21297"/>
                <wp:lineTo x="21382" y="0"/>
                <wp:lineTo x="0" y="0"/>
              </wp:wrapPolygon>
            </wp:wrapTight>
            <wp:docPr id="6" name="Imagen 6" descr="Resultado de imagen para NIC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NIC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854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67224" w:rsidRPr="00267224" w:rsidRDefault="00267224" w:rsidP="00267224">
      <w:pPr>
        <w:spacing w:after="0" w:line="240" w:lineRule="auto"/>
        <w:jc w:val="both"/>
        <w:rPr>
          <w:rFonts w:ascii="Tahoma" w:hAnsi="Tahoma" w:cs="Tahoma"/>
          <w:color w:val="000000"/>
          <w:spacing w:val="8"/>
        </w:rPr>
      </w:pPr>
      <w:r>
        <w:rPr>
          <w:rFonts w:ascii="Tahoma" w:hAnsi="Tahoma" w:cs="Tahoma"/>
          <w:color w:val="000000"/>
          <w:spacing w:val="8"/>
        </w:rPr>
        <w:t>Saludos cordiales.</w:t>
      </w:r>
    </w:p>
    <w:p w:rsidR="009B2B7A" w:rsidRPr="00D243FF" w:rsidRDefault="007C4D5B" w:rsidP="00E06929">
      <w:pPr>
        <w:spacing w:after="0" w:line="240" w:lineRule="auto"/>
        <w:jc w:val="both"/>
        <w:rPr>
          <w:rFonts w:ascii="Tahoma" w:hAnsi="Tahoma" w:cs="Tahoma"/>
          <w:sz w:val="14"/>
          <w:szCs w:val="14"/>
        </w:rPr>
      </w:pPr>
      <w:r>
        <w:rPr>
          <w:noProof/>
          <w:lang w:val="es-EC" w:eastAsia="es-EC"/>
        </w:rPr>
        <mc:AlternateContent>
          <mc:Choice Requires="wps">
            <w:drawing>
              <wp:anchor distT="0" distB="0" distL="114300" distR="114300" simplePos="0" relativeHeight="251671552" behindDoc="0" locked="0" layoutInCell="1" allowOverlap="1" wp14:anchorId="3757CB10" wp14:editId="3E15E733">
                <wp:simplePos x="0" y="0"/>
                <wp:positionH relativeFrom="column">
                  <wp:posOffset>2806987</wp:posOffset>
                </wp:positionH>
                <wp:positionV relativeFrom="paragraph">
                  <wp:posOffset>606221</wp:posOffset>
                </wp:positionV>
                <wp:extent cx="3579495" cy="2008505"/>
                <wp:effectExtent l="0" t="0" r="0" b="8255"/>
                <wp:wrapNone/>
                <wp:docPr id="1" name="1 Cuadro de texto"/>
                <wp:cNvGraphicFramePr/>
                <a:graphic xmlns:a="http://schemas.openxmlformats.org/drawingml/2006/main">
                  <a:graphicData uri="http://schemas.microsoft.com/office/word/2010/wordprocessingShape">
                    <wps:wsp>
                      <wps:cNvSpPr txBox="1"/>
                      <wps:spPr>
                        <a:xfrm>
                          <a:off x="0" y="0"/>
                          <a:ext cx="3579495" cy="2008505"/>
                        </a:xfrm>
                        <a:prstGeom prst="rect">
                          <a:avLst/>
                        </a:prstGeom>
                        <a:noFill/>
                        <a:ln>
                          <a:noFill/>
                        </a:ln>
                        <a:effectLst/>
                      </wps:spPr>
                      <wps:txbx>
                        <w:txbxContent>
                          <w:p w:rsidR="007C4D5B" w:rsidRPr="007C4D5B" w:rsidRDefault="007C4D5B" w:rsidP="007C4D5B">
                            <w:pPr>
                              <w:spacing w:after="0" w:line="200" w:lineRule="atLeast"/>
                              <w:jc w:val="center"/>
                              <w:rPr>
                                <w:b/>
                                <w:caps/>
                                <w:noProof/>
                                <w:sz w:val="72"/>
                                <w:szCs w:val="84"/>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Pr>
                                <w:b/>
                                <w:caps/>
                                <w:noProof/>
                                <w:sz w:val="72"/>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w:t>
                            </w:r>
                            <w:r w:rsidR="00267224" w:rsidRPr="007C4D5B">
                              <w:rPr>
                                <w:b/>
                                <w:caps/>
                                <w:noProof/>
                                <w:sz w:val="72"/>
                                <w:szCs w:val="84"/>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19: </w:t>
                            </w:r>
                          </w:p>
                          <w:p w:rsidR="00267224" w:rsidRPr="007C4D5B" w:rsidRDefault="00267224" w:rsidP="007C4D5B">
                            <w:pPr>
                              <w:spacing w:after="0" w:line="200" w:lineRule="atLeast"/>
                              <w:jc w:val="center"/>
                              <w:rPr>
                                <w:b/>
                                <w:caps/>
                                <w:noProof/>
                                <w:sz w:val="40"/>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7C4D5B">
                              <w:rPr>
                                <w:b/>
                                <w:caps/>
                                <w:noProof/>
                                <w:sz w:val="40"/>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BENEFICIOS A </w:t>
                            </w:r>
                            <w:r w:rsidR="007C4D5B" w:rsidRPr="007C4D5B">
                              <w:rPr>
                                <w:b/>
                                <w:caps/>
                                <w:noProof/>
                                <w:sz w:val="40"/>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LOS </w:t>
                            </w:r>
                            <w:r w:rsidRPr="007C4D5B">
                              <w:rPr>
                                <w:b/>
                                <w:caps/>
                                <w:noProof/>
                                <w:sz w:val="40"/>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EMPLEADOS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anchor>
            </w:drawing>
          </mc:Choice>
          <mc:Fallback>
            <w:pict>
              <v:shape id="1 Cuadro de texto" o:spid="_x0000_s1027" type="#_x0000_t202" style="position:absolute;left:0;text-align:left;margin-left:221pt;margin-top:47.75pt;width:281.85pt;height:158.15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" filled="f" stroked="f">
                <v:fill o:detectmouseclick="t"/>
                <v:textbox style="mso-fit-shape-to-text:t">
                  <w:txbxContent>
                    <w:p w:rsidR="007C4D5B" w:rsidRPr="007C4D5B" w:rsidRDefault="007C4D5B" w:rsidP="007C4D5B">
                      <w:pPr>
                        <w:spacing w:after="0" w:line="200" w:lineRule="atLeast"/>
                        <w:jc w:val="center"/>
                        <w:rPr>
                          <w:b/>
                          <w:caps/>
                          <w:noProof/>
                          <w:sz w:val="72"/>
                          <w:szCs w:val="84"/>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Pr>
                          <w:b/>
                          <w:caps/>
                          <w:noProof/>
                          <w:sz w:val="72"/>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w:t>
                      </w:r>
                      <w:r w:rsidR="00267224" w:rsidRPr="007C4D5B">
                        <w:rPr>
                          <w:b/>
                          <w:caps/>
                          <w:noProof/>
                          <w:sz w:val="72"/>
                          <w:szCs w:val="84"/>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19: </w:t>
                      </w:r>
                    </w:p>
                    <w:p w:rsidR="00267224" w:rsidRPr="007C4D5B" w:rsidRDefault="00267224" w:rsidP="007C4D5B">
                      <w:pPr>
                        <w:spacing w:after="0" w:line="200" w:lineRule="atLeast"/>
                        <w:jc w:val="center"/>
                        <w:rPr>
                          <w:b/>
                          <w:caps/>
                          <w:noProof/>
                          <w:sz w:val="40"/>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7C4D5B">
                        <w:rPr>
                          <w:b/>
                          <w:caps/>
                          <w:noProof/>
                          <w:sz w:val="40"/>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BENEFICIOS A </w:t>
                      </w:r>
                      <w:r w:rsidR="007C4D5B" w:rsidRPr="007C4D5B">
                        <w:rPr>
                          <w:b/>
                          <w:caps/>
                          <w:noProof/>
                          <w:sz w:val="40"/>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LOS </w:t>
                      </w:r>
                      <w:r w:rsidRPr="007C4D5B">
                        <w:rPr>
                          <w:b/>
                          <w:caps/>
                          <w:noProof/>
                          <w:sz w:val="40"/>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EMPLEADOS</w:t>
                      </w:r>
                    </w:p>
                  </w:txbxContent>
                </v:textbox>
              </v:shape>
            </w:pict>
          </mc:Fallback>
        </mc:AlternateContent>
      </w:r>
      <w:r>
        <w:rPr>
          <w:noProof/>
          <w:lang w:val="es-EC" w:eastAsia="es-EC"/>
        </w:rPr>
        <w:drawing>
          <wp:anchor distT="0" distB="0" distL="114300" distR="114300" simplePos="0" relativeHeight="251669504" behindDoc="1" locked="0" layoutInCell="1" allowOverlap="1" wp14:anchorId="695366D1" wp14:editId="3F9C5138">
            <wp:simplePos x="0" y="0"/>
            <wp:positionH relativeFrom="column">
              <wp:posOffset>-660400</wp:posOffset>
            </wp:positionH>
            <wp:positionV relativeFrom="paragraph">
              <wp:posOffset>598170</wp:posOffset>
            </wp:positionV>
            <wp:extent cx="3579495" cy="2008505"/>
            <wp:effectExtent l="0" t="0" r="1905" b="0"/>
            <wp:wrapTight wrapText="bothSides">
              <wp:wrapPolygon edited="0">
                <wp:start x="0" y="0"/>
                <wp:lineTo x="0" y="21306"/>
                <wp:lineTo x="21497" y="21306"/>
                <wp:lineTo x="21497" y="0"/>
                <wp:lineTo x="0" y="0"/>
              </wp:wrapPolygon>
            </wp:wrapTight>
            <wp:docPr id="7" name="Imagen 7" descr="Resultado de imagen para normas internacionales de contabil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normas internacionales de contabilida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9495" cy="200850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9B2B7A" w:rsidRPr="00D243FF" w:rsidSect="00267224">
      <w:headerReference w:type="default" r:id="rId13"/>
      <w:footerReference w:type="default" r:id="rId14"/>
      <w:type w:val="continuous"/>
      <w:pgSz w:w="11906" w:h="16838"/>
      <w:pgMar w:top="1134" w:right="991" w:bottom="1417" w:left="1134" w:header="708" w:footer="5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BD0" w:rsidRDefault="00976BD0" w:rsidP="00FA7C89">
      <w:pPr>
        <w:spacing w:after="0" w:line="240" w:lineRule="auto"/>
      </w:pPr>
      <w:r>
        <w:separator/>
      </w:r>
    </w:p>
  </w:endnote>
  <w:endnote w:type="continuationSeparator" w:id="0">
    <w:p w:rsidR="00976BD0" w:rsidRDefault="00976BD0"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1EA" w:rsidRDefault="00F241EA" w:rsidP="00A022A6">
    <w:pPr>
      <w:pStyle w:val="Piedepgina"/>
    </w:pPr>
    <w:r>
      <w:rPr>
        <w:noProof/>
        <w:lang w:val="es-EC" w:eastAsia="es-EC"/>
      </w:rPr>
      <mc:AlternateContent>
        <mc:Choice Requires="wps">
          <w:drawing>
            <wp:anchor distT="0" distB="0" distL="114300" distR="114300" simplePos="0" relativeHeight="251662336" behindDoc="0" locked="0" layoutInCell="0" allowOverlap="1" wp14:anchorId="38BC9643" wp14:editId="35DD5345">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166C64"/>
                              <w:spacing w:val="60"/>
                            </w:rPr>
                            <w:alias w:val="Date"/>
                            <w:id w:val="98567636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F241EA" w:rsidRPr="00841585" w:rsidRDefault="00201594" w:rsidP="00A022A6">
                              <w:pPr>
                                <w:rPr>
                                  <w:color w:val="166C64"/>
                                  <w:spacing w:val="60"/>
                                </w:rPr>
                              </w:pPr>
                              <w:r>
                                <w:rPr>
                                  <w:color w:val="166C64"/>
                                  <w:spacing w:val="60"/>
                                </w:rPr>
                                <w:t>TC Plus Informativo Gerencial</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9" style="position:absolute;margin-left:0;margin-top:0;width:40.25pt;height:486pt;z-index:251662336;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xkw4gIAAEM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" o:allowincell="f" filled="f" stroked="f">
              <v:textbox style="layout-flow:vertical;mso-layout-flow-alt:bottom-to-top;mso-fit-shape-to-text:t">
                <w:txbxContent>
                  <w:sdt>
                    <w:sdtPr>
                      <w:rPr>
                        <w:color w:val="166C64"/>
                        <w:spacing w:val="60"/>
                      </w:rPr>
                      <w:alias w:val="Date"/>
                      <w:id w:val="98567636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F241EA" w:rsidRPr="00841585" w:rsidRDefault="00201594" w:rsidP="00A022A6">
                        <w:pPr>
                          <w:rPr>
                            <w:color w:val="166C64"/>
                            <w:spacing w:val="60"/>
                          </w:rPr>
                        </w:pPr>
                        <w:r>
                          <w:rPr>
                            <w:color w:val="166C64"/>
                            <w:spacing w:val="60"/>
                          </w:rPr>
                          <w:t>TC Plus Informativo Gerencial</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1312" behindDoc="0" locked="0" layoutInCell="0" allowOverlap="1" wp14:anchorId="06D04A1F" wp14:editId="7FB848BF">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rgbClr val="166C64"/>
                          </a:gs>
                          <a:gs pos="50000">
                            <a:srgbClr val="3EB0B0"/>
                          </a:gs>
                          <a:gs pos="100000">
                            <a:srgbClr val="40868A"/>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1312;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F241EA" w:rsidRDefault="00F241E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BD0" w:rsidRDefault="00976BD0" w:rsidP="00FA7C89">
      <w:pPr>
        <w:spacing w:after="0" w:line="240" w:lineRule="auto"/>
      </w:pPr>
      <w:r>
        <w:separator/>
      </w:r>
    </w:p>
  </w:footnote>
  <w:footnote w:type="continuationSeparator" w:id="0">
    <w:p w:rsidR="00976BD0" w:rsidRDefault="00976BD0"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910" w:rsidRDefault="00120910">
    <w:pPr>
      <w:pStyle w:val="Encabezado"/>
    </w:pPr>
    <w:r>
      <w:rPr>
        <w:noProof/>
        <w:lang w:val="es-EC" w:eastAsia="es-EC"/>
      </w:rPr>
      <w:drawing>
        <wp:anchor distT="0" distB="0" distL="114300" distR="114300" simplePos="0" relativeHeight="251665408" behindDoc="1" locked="0" layoutInCell="1" allowOverlap="1" wp14:anchorId="22432B58" wp14:editId="05E2939B">
          <wp:simplePos x="0" y="0"/>
          <wp:positionH relativeFrom="column">
            <wp:posOffset>3752215</wp:posOffset>
          </wp:positionH>
          <wp:positionV relativeFrom="paragraph">
            <wp:posOffset>-396875</wp:posOffset>
          </wp:positionV>
          <wp:extent cx="2795270" cy="707390"/>
          <wp:effectExtent l="0" t="0" r="0" b="0"/>
          <wp:wrapTight wrapText="bothSides">
            <wp:wrapPolygon edited="0">
              <wp:start x="13543" y="2327"/>
              <wp:lineTo x="10893" y="12797"/>
              <wp:lineTo x="7213" y="12797"/>
              <wp:lineTo x="6330" y="13961"/>
              <wp:lineTo x="6477" y="20359"/>
              <wp:lineTo x="21050" y="20359"/>
              <wp:lineTo x="21345" y="4654"/>
              <wp:lineTo x="18990" y="2327"/>
              <wp:lineTo x="13543" y="2327"/>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95270" cy="707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4384" behindDoc="1" locked="0" layoutInCell="1" allowOverlap="1" wp14:anchorId="60456378" wp14:editId="6105DB58">
              <wp:simplePos x="0" y="0"/>
              <wp:positionH relativeFrom="margin">
                <wp:posOffset>-718185</wp:posOffset>
              </wp:positionH>
              <wp:positionV relativeFrom="topMargin">
                <wp:posOffset>11166</wp:posOffset>
              </wp:positionV>
              <wp:extent cx="7543800" cy="796290"/>
              <wp:effectExtent l="57150" t="38100" r="76200" b="118110"/>
              <wp:wrapNone/>
              <wp:docPr id="2" name="Rectangle 1"/>
              <wp:cNvGraphicFramePr/>
              <a:graphic xmlns:a="http://schemas.openxmlformats.org/drawingml/2006/main">
                <a:graphicData uri="http://schemas.microsoft.com/office/word/2010/wordprocessingShape">
                  <wps:wsp>
                    <wps:cNvSpPr/>
                    <wps:spPr>
                      <a:xfrm>
                        <a:off x="0" y="0"/>
                        <a:ext cx="7543800" cy="796290"/>
                      </a:xfrm>
                      <a:prstGeom prst="rect">
                        <a:avLst/>
                      </a:prstGeom>
                      <a:gradFill>
                        <a:gsLst>
                          <a:gs pos="0">
                            <a:srgbClr val="40868A"/>
                          </a:gs>
                          <a:gs pos="80000">
                            <a:srgbClr val="166C64"/>
                          </a:gs>
                          <a:gs pos="100000">
                            <a:srgbClr val="3EB0B0"/>
                          </a:gs>
                        </a:gsLst>
                      </a:gradFill>
                      <a:ln/>
                    </wps:spPr>
                    <wps:style>
                      <a:lnRef idx="0">
                        <a:schemeClr val="accent3"/>
                      </a:lnRef>
                      <a:fillRef idx="3">
                        <a:schemeClr val="accent3"/>
                      </a:fillRef>
                      <a:effectRef idx="3">
                        <a:schemeClr val="accent3"/>
                      </a:effectRef>
                      <a:fontRef idx="minor">
                        <a:schemeClr val="lt1"/>
                      </a:fontRef>
                    </wps:style>
                    <wps:txbx>
                      <w:txbxContent>
                        <w:p w:rsidR="00120910" w:rsidRDefault="00120910" w:rsidP="00120910"/>
                        <w:p w:rsidR="00120910" w:rsidRDefault="00120910" w:rsidP="00120910"/>
                        <w:tbl>
                          <w:tblPr>
                            <w:tblW w:w="5000" w:type="pct"/>
                            <w:jc w:val="center"/>
                            <w:tblLook w:val="04A0" w:firstRow="1" w:lastRow="0" w:firstColumn="1" w:lastColumn="0" w:noHBand="0" w:noVBand="1"/>
                          </w:tblPr>
                          <w:tblGrid>
                            <w:gridCol w:w="3940"/>
                            <w:gridCol w:w="3941"/>
                            <w:gridCol w:w="3942"/>
                          </w:tblGrid>
                          <w:tr w:rsidR="00120910" w:rsidTr="003D737D">
                            <w:trPr>
                              <w:jc w:val="center"/>
                            </w:trPr>
                            <w:tc>
                              <w:tcPr>
                                <w:tcW w:w="3506" w:type="dxa"/>
                              </w:tcPr>
                              <w:p w:rsidR="00120910" w:rsidRDefault="00120910">
                                <w:pPr>
                                  <w:spacing w:after="160" w:line="264" w:lineRule="auto"/>
                                  <w:jc w:val="center"/>
                                </w:pPr>
                              </w:p>
                            </w:tc>
                            <w:tc>
                              <w:tcPr>
                                <w:tcW w:w="3506" w:type="dxa"/>
                              </w:tcPr>
                              <w:p w:rsidR="00120910" w:rsidRDefault="00120910">
                                <w:pPr>
                                  <w:spacing w:after="160" w:line="264" w:lineRule="auto"/>
                                  <w:jc w:val="center"/>
                                </w:pPr>
                              </w:p>
                            </w:tc>
                            <w:tc>
                              <w:tcPr>
                                <w:tcW w:w="3507" w:type="dxa"/>
                              </w:tcPr>
                              <w:p w:rsidR="00120910" w:rsidRDefault="00120910">
                                <w:pPr>
                                  <w:jc w:val="center"/>
                                </w:pPr>
                              </w:p>
                            </w:tc>
                          </w:tr>
                        </w:tbl>
                        <w:p w:rsidR="00120910" w:rsidRDefault="00120910" w:rsidP="00120910">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topMargin">
                <wp14:pctHeight>0</wp14:pctHeight>
              </wp14:sizeRelV>
            </wp:anchor>
          </w:drawing>
        </mc:Choice>
        <mc:Fallback>
          <w:pict>
            <v:rect id="Rectangle 1" o:spid="_x0000_s1028" style="position:absolute;margin-left:-56.55pt;margin-top:.9pt;width:594pt;height:62.7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" fillcolor="#40868a" stroked="f">
              <v:fill color2="#3eb0b0" rotate="t" angle="180" colors="0 #40868a;52429f #166c64;1 #3eb0b0" focus="100%" type="gradient">
                <o:fill v:ext="view" type="gradientUnscaled"/>
              </v:fill>
              <v:shadow on="t" color="black" opacity="22937f" origin=",.5" offset="0,.63889mm"/>
              <v:textbox inset=",14.4pt">
                <w:txbxContent>
                  <w:p w:rsidR="00120910" w:rsidRDefault="00120910" w:rsidP="00120910"/>
                  <w:p w:rsidR="00120910" w:rsidRDefault="00120910" w:rsidP="00120910"/>
                  <w:tbl>
                    <w:tblPr>
                      <w:tblW w:w="5000" w:type="pct"/>
                      <w:jc w:val="center"/>
                      <w:tblLook w:val="04A0" w:firstRow="1" w:lastRow="0" w:firstColumn="1" w:lastColumn="0" w:noHBand="0" w:noVBand="1"/>
                    </w:tblPr>
                    <w:tblGrid>
                      <w:gridCol w:w="3940"/>
                      <w:gridCol w:w="3941"/>
                      <w:gridCol w:w="3942"/>
                    </w:tblGrid>
                    <w:tr w:rsidR="00120910" w:rsidTr="003D737D">
                      <w:trPr>
                        <w:jc w:val="center"/>
                      </w:trPr>
                      <w:tc>
                        <w:tcPr>
                          <w:tcW w:w="3506" w:type="dxa"/>
                        </w:tcPr>
                        <w:p w:rsidR="00120910" w:rsidRDefault="00120910">
                          <w:pPr>
                            <w:spacing w:after="160" w:line="264" w:lineRule="auto"/>
                            <w:jc w:val="center"/>
                          </w:pPr>
                        </w:p>
                      </w:tc>
                      <w:tc>
                        <w:tcPr>
                          <w:tcW w:w="3506" w:type="dxa"/>
                        </w:tcPr>
                        <w:p w:rsidR="00120910" w:rsidRDefault="00120910">
                          <w:pPr>
                            <w:spacing w:after="160" w:line="264" w:lineRule="auto"/>
                            <w:jc w:val="center"/>
                          </w:pPr>
                        </w:p>
                      </w:tc>
                      <w:tc>
                        <w:tcPr>
                          <w:tcW w:w="3507" w:type="dxa"/>
                        </w:tcPr>
                        <w:p w:rsidR="00120910" w:rsidRDefault="00120910">
                          <w:pPr>
                            <w:jc w:val="center"/>
                          </w:pPr>
                        </w:p>
                      </w:tc>
                    </w:tr>
                  </w:tbl>
                  <w:p w:rsidR="00120910" w:rsidRDefault="00120910" w:rsidP="00120910">
                    <w:pPr>
                      <w:jc w:val="center"/>
                    </w:pPr>
                  </w:p>
                </w:txbxContent>
              </v:textbox>
              <w10:wrap anchorx="margin" anchory="margin"/>
            </v:rect>
          </w:pict>
        </mc:Fallback>
      </mc:AlternateContent>
    </w:r>
  </w:p>
  <w:p w:rsidR="00F241EA" w:rsidRDefault="00F241E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059_"/>
      </v:shape>
    </w:pict>
  </w:numPicBullet>
  <w:abstractNum w:abstractNumId="0">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3">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5"/>
  </w:num>
  <w:num w:numId="4">
    <w:abstractNumId w:val="5"/>
  </w:num>
  <w:num w:numId="5">
    <w:abstractNumId w:val="7"/>
  </w:num>
  <w:num w:numId="6">
    <w:abstractNumId w:val="17"/>
  </w:num>
  <w:num w:numId="7">
    <w:abstractNumId w:val="14"/>
  </w:num>
  <w:num w:numId="8">
    <w:abstractNumId w:val="8"/>
  </w:num>
  <w:num w:numId="9">
    <w:abstractNumId w:val="20"/>
  </w:num>
  <w:num w:numId="10">
    <w:abstractNumId w:val="13"/>
  </w:num>
  <w:num w:numId="11">
    <w:abstractNumId w:val="3"/>
  </w:num>
  <w:num w:numId="12">
    <w:abstractNumId w:val="18"/>
  </w:num>
  <w:num w:numId="13">
    <w:abstractNumId w:val="6"/>
  </w:num>
  <w:num w:numId="14">
    <w:abstractNumId w:val="1"/>
  </w:num>
  <w:num w:numId="15">
    <w:abstractNumId w:val="4"/>
  </w:num>
  <w:num w:numId="16">
    <w:abstractNumId w:val="16"/>
  </w:num>
  <w:num w:numId="17">
    <w:abstractNumId w:val="0"/>
  </w:num>
  <w:num w:numId="18">
    <w:abstractNumId w:val="2"/>
  </w:num>
  <w:num w:numId="19">
    <w:abstractNumId w:val="11"/>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07561"/>
    <w:rsid w:val="00016CC2"/>
    <w:rsid w:val="00047711"/>
    <w:rsid w:val="00057238"/>
    <w:rsid w:val="000A016C"/>
    <w:rsid w:val="000A6E5B"/>
    <w:rsid w:val="000B6A27"/>
    <w:rsid w:val="00120910"/>
    <w:rsid w:val="00120A3B"/>
    <w:rsid w:val="00120A63"/>
    <w:rsid w:val="00127E30"/>
    <w:rsid w:val="00153EF0"/>
    <w:rsid w:val="001608C7"/>
    <w:rsid w:val="001608E0"/>
    <w:rsid w:val="00167C86"/>
    <w:rsid w:val="0018394A"/>
    <w:rsid w:val="00191F71"/>
    <w:rsid w:val="001D5DA4"/>
    <w:rsid w:val="001E2646"/>
    <w:rsid w:val="001E43B5"/>
    <w:rsid w:val="001F46FF"/>
    <w:rsid w:val="001F74D3"/>
    <w:rsid w:val="00200B82"/>
    <w:rsid w:val="00200E53"/>
    <w:rsid w:val="00201594"/>
    <w:rsid w:val="00221DF9"/>
    <w:rsid w:val="00225CC5"/>
    <w:rsid w:val="00245227"/>
    <w:rsid w:val="00257BB4"/>
    <w:rsid w:val="00261819"/>
    <w:rsid w:val="00267224"/>
    <w:rsid w:val="00275878"/>
    <w:rsid w:val="0028394A"/>
    <w:rsid w:val="00287C0E"/>
    <w:rsid w:val="002A643D"/>
    <w:rsid w:val="002A7F64"/>
    <w:rsid w:val="002C4431"/>
    <w:rsid w:val="002D61D9"/>
    <w:rsid w:val="002D7D05"/>
    <w:rsid w:val="002E3C88"/>
    <w:rsid w:val="00303974"/>
    <w:rsid w:val="0031033D"/>
    <w:rsid w:val="003307D4"/>
    <w:rsid w:val="00333905"/>
    <w:rsid w:val="0033538F"/>
    <w:rsid w:val="0035445D"/>
    <w:rsid w:val="00361F3F"/>
    <w:rsid w:val="003629FC"/>
    <w:rsid w:val="00374AA7"/>
    <w:rsid w:val="003962A0"/>
    <w:rsid w:val="00396A35"/>
    <w:rsid w:val="003A351C"/>
    <w:rsid w:val="003D07E0"/>
    <w:rsid w:val="003D737D"/>
    <w:rsid w:val="003F4C44"/>
    <w:rsid w:val="004038C7"/>
    <w:rsid w:val="00431533"/>
    <w:rsid w:val="004577A2"/>
    <w:rsid w:val="00466AFF"/>
    <w:rsid w:val="0047606E"/>
    <w:rsid w:val="004A192C"/>
    <w:rsid w:val="004A5007"/>
    <w:rsid w:val="004B04D9"/>
    <w:rsid w:val="004B386D"/>
    <w:rsid w:val="004C4C63"/>
    <w:rsid w:val="004C7904"/>
    <w:rsid w:val="004D59A4"/>
    <w:rsid w:val="00514FB1"/>
    <w:rsid w:val="00522C35"/>
    <w:rsid w:val="00531037"/>
    <w:rsid w:val="005315EB"/>
    <w:rsid w:val="00557819"/>
    <w:rsid w:val="00573C51"/>
    <w:rsid w:val="00575233"/>
    <w:rsid w:val="005850DF"/>
    <w:rsid w:val="005A398B"/>
    <w:rsid w:val="005B5D4F"/>
    <w:rsid w:val="005D46C6"/>
    <w:rsid w:val="00617C5C"/>
    <w:rsid w:val="00634277"/>
    <w:rsid w:val="006447B2"/>
    <w:rsid w:val="0067367F"/>
    <w:rsid w:val="00693295"/>
    <w:rsid w:val="006A2881"/>
    <w:rsid w:val="006B4CE5"/>
    <w:rsid w:val="006C4BEB"/>
    <w:rsid w:val="006D6667"/>
    <w:rsid w:val="006D7EC6"/>
    <w:rsid w:val="006F15AD"/>
    <w:rsid w:val="006F2282"/>
    <w:rsid w:val="00710602"/>
    <w:rsid w:val="00713805"/>
    <w:rsid w:val="007157F6"/>
    <w:rsid w:val="007178D8"/>
    <w:rsid w:val="00726252"/>
    <w:rsid w:val="00734539"/>
    <w:rsid w:val="007416EE"/>
    <w:rsid w:val="007441D8"/>
    <w:rsid w:val="00754D12"/>
    <w:rsid w:val="0078334E"/>
    <w:rsid w:val="007912B7"/>
    <w:rsid w:val="007A674C"/>
    <w:rsid w:val="007C4D5B"/>
    <w:rsid w:val="007D22FB"/>
    <w:rsid w:val="007D58A7"/>
    <w:rsid w:val="007E1875"/>
    <w:rsid w:val="007E3EA3"/>
    <w:rsid w:val="007E5616"/>
    <w:rsid w:val="007F6A17"/>
    <w:rsid w:val="00807073"/>
    <w:rsid w:val="00823464"/>
    <w:rsid w:val="008273EC"/>
    <w:rsid w:val="008308BE"/>
    <w:rsid w:val="00837949"/>
    <w:rsid w:val="00841585"/>
    <w:rsid w:val="0085644C"/>
    <w:rsid w:val="008A4AAF"/>
    <w:rsid w:val="008A6A94"/>
    <w:rsid w:val="008B73CB"/>
    <w:rsid w:val="008E0723"/>
    <w:rsid w:val="008E16D7"/>
    <w:rsid w:val="00924293"/>
    <w:rsid w:val="00924AC5"/>
    <w:rsid w:val="00931308"/>
    <w:rsid w:val="00931822"/>
    <w:rsid w:val="00934193"/>
    <w:rsid w:val="00936667"/>
    <w:rsid w:val="009377E2"/>
    <w:rsid w:val="00945A0C"/>
    <w:rsid w:val="00946F02"/>
    <w:rsid w:val="00951B6E"/>
    <w:rsid w:val="00962424"/>
    <w:rsid w:val="0097165A"/>
    <w:rsid w:val="00976BD0"/>
    <w:rsid w:val="0098393D"/>
    <w:rsid w:val="0098422F"/>
    <w:rsid w:val="00991D11"/>
    <w:rsid w:val="00995407"/>
    <w:rsid w:val="00995589"/>
    <w:rsid w:val="009B2B7A"/>
    <w:rsid w:val="009B6CA7"/>
    <w:rsid w:val="009C79B1"/>
    <w:rsid w:val="009F06BF"/>
    <w:rsid w:val="00A022A6"/>
    <w:rsid w:val="00A04CD0"/>
    <w:rsid w:val="00A05B77"/>
    <w:rsid w:val="00A118C2"/>
    <w:rsid w:val="00A2163B"/>
    <w:rsid w:val="00A31038"/>
    <w:rsid w:val="00A32B74"/>
    <w:rsid w:val="00A35DEA"/>
    <w:rsid w:val="00A461F9"/>
    <w:rsid w:val="00A67087"/>
    <w:rsid w:val="00A72851"/>
    <w:rsid w:val="00A741D5"/>
    <w:rsid w:val="00A74DF5"/>
    <w:rsid w:val="00A75150"/>
    <w:rsid w:val="00A76978"/>
    <w:rsid w:val="00A804B0"/>
    <w:rsid w:val="00A80C91"/>
    <w:rsid w:val="00A9785A"/>
    <w:rsid w:val="00AA6657"/>
    <w:rsid w:val="00AC5D7D"/>
    <w:rsid w:val="00AD7D8C"/>
    <w:rsid w:val="00AE6DC0"/>
    <w:rsid w:val="00AF07DA"/>
    <w:rsid w:val="00AF33C6"/>
    <w:rsid w:val="00B012D5"/>
    <w:rsid w:val="00B21CF7"/>
    <w:rsid w:val="00B55102"/>
    <w:rsid w:val="00B60037"/>
    <w:rsid w:val="00B67BD5"/>
    <w:rsid w:val="00B8273A"/>
    <w:rsid w:val="00BA09F5"/>
    <w:rsid w:val="00BC48FA"/>
    <w:rsid w:val="00BE2E25"/>
    <w:rsid w:val="00BE4146"/>
    <w:rsid w:val="00BE763F"/>
    <w:rsid w:val="00BF301C"/>
    <w:rsid w:val="00BF3DF8"/>
    <w:rsid w:val="00C15040"/>
    <w:rsid w:val="00C15B89"/>
    <w:rsid w:val="00C33451"/>
    <w:rsid w:val="00C53F30"/>
    <w:rsid w:val="00C81C95"/>
    <w:rsid w:val="00CA0E85"/>
    <w:rsid w:val="00CA445F"/>
    <w:rsid w:val="00CC0E46"/>
    <w:rsid w:val="00CE37F5"/>
    <w:rsid w:val="00CF54FE"/>
    <w:rsid w:val="00D06451"/>
    <w:rsid w:val="00D141D3"/>
    <w:rsid w:val="00D16194"/>
    <w:rsid w:val="00D243FF"/>
    <w:rsid w:val="00D313D2"/>
    <w:rsid w:val="00D31BD2"/>
    <w:rsid w:val="00D81419"/>
    <w:rsid w:val="00DD6BCE"/>
    <w:rsid w:val="00DE0C15"/>
    <w:rsid w:val="00E06929"/>
    <w:rsid w:val="00E1167C"/>
    <w:rsid w:val="00E1211C"/>
    <w:rsid w:val="00E13DC2"/>
    <w:rsid w:val="00E262EE"/>
    <w:rsid w:val="00E53F2D"/>
    <w:rsid w:val="00E638E1"/>
    <w:rsid w:val="00E745FE"/>
    <w:rsid w:val="00E8642A"/>
    <w:rsid w:val="00EC3B96"/>
    <w:rsid w:val="00ED78A4"/>
    <w:rsid w:val="00ED7D76"/>
    <w:rsid w:val="00EE2CFE"/>
    <w:rsid w:val="00EF2CDF"/>
    <w:rsid w:val="00F00167"/>
    <w:rsid w:val="00F241EA"/>
    <w:rsid w:val="00F307F9"/>
    <w:rsid w:val="00F353F2"/>
    <w:rsid w:val="00F432E4"/>
    <w:rsid w:val="00F53E68"/>
    <w:rsid w:val="00F673F0"/>
    <w:rsid w:val="00FA0417"/>
    <w:rsid w:val="00FA7C89"/>
    <w:rsid w:val="00FC206F"/>
    <w:rsid w:val="00FC46BF"/>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 w:type="paragraph" w:customStyle="1" w:styleId="auto-style37">
    <w:name w:val="auto-style37"/>
    <w:basedOn w:val="Normal"/>
    <w:uiPriority w:val="99"/>
    <w:rsid w:val="00267224"/>
    <w:pPr>
      <w:spacing w:before="100" w:beforeAutospacing="1" w:after="100" w:afterAutospacing="1" w:line="240" w:lineRule="auto"/>
    </w:pPr>
    <w:rPr>
      <w:rFonts w:ascii="Times New Roman" w:hAnsi="Times New Roman" w:cs="Times New Roman"/>
      <w:lang w:val="es-EC" w:eastAsia="es-E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 w:type="paragraph" w:customStyle="1" w:styleId="auto-style37">
    <w:name w:val="auto-style37"/>
    <w:basedOn w:val="Normal"/>
    <w:uiPriority w:val="99"/>
    <w:rsid w:val="00267224"/>
    <w:pPr>
      <w:spacing w:before="100" w:beforeAutospacing="1" w:after="100" w:afterAutospacing="1" w:line="240" w:lineRule="auto"/>
    </w:pPr>
    <w:rPr>
      <w:rFonts w:ascii="Times New Roman" w:hAnsi="Times New Roman" w:cs="Times New Roman"/>
      <w:lang w:val="es-EC"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Gerencial</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33D639-E134-40EB-A1E9-26630D91B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1876</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2017-01-26T19:32:00Z</cp:lastPrinted>
  <dcterms:created xsi:type="dcterms:W3CDTF">2017-02-06T21:00:00Z</dcterms:created>
  <dcterms:modified xsi:type="dcterms:W3CDTF">2017-02-06T21:00:00Z</dcterms:modified>
</cp:coreProperties>
</file>